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6B" w:rsidRPr="007D42F6" w:rsidRDefault="0063696B" w:rsidP="0063696B">
      <w:pPr>
        <w:spacing w:line="570" w:lineRule="exact"/>
        <w:rPr>
          <w:rFonts w:ascii="黑体" w:eastAsia="黑体" w:hAnsi="黑体"/>
          <w:szCs w:val="32"/>
        </w:rPr>
      </w:pPr>
      <w:r w:rsidRPr="007D42F6">
        <w:rPr>
          <w:rFonts w:ascii="黑体" w:eastAsia="黑体" w:hAnsi="黑体" w:hint="eastAsia"/>
          <w:szCs w:val="32"/>
        </w:rPr>
        <w:t>附件</w:t>
      </w:r>
      <w:r>
        <w:rPr>
          <w:rFonts w:ascii="黑体" w:eastAsia="黑体" w:hAnsi="黑体" w:hint="eastAsia"/>
          <w:szCs w:val="32"/>
        </w:rPr>
        <w:t>1</w:t>
      </w:r>
      <w:r w:rsidRPr="007D42F6">
        <w:rPr>
          <w:rFonts w:ascii="黑体" w:eastAsia="黑体" w:hAnsi="黑体" w:hint="eastAsia"/>
          <w:szCs w:val="32"/>
        </w:rPr>
        <w:t>：</w:t>
      </w:r>
    </w:p>
    <w:p w:rsidR="0063696B" w:rsidRDefault="0063696B" w:rsidP="0063696B">
      <w:pPr>
        <w:spacing w:line="700" w:lineRule="exact"/>
        <w:jc w:val="center"/>
        <w:rPr>
          <w:rFonts w:ascii="方正小标宋简体" w:eastAsia="方正小标宋简体" w:hAnsi="宋体"/>
          <w:sz w:val="28"/>
          <w:szCs w:val="28"/>
        </w:rPr>
      </w:pPr>
      <w:r w:rsidRPr="007D42F6">
        <w:rPr>
          <w:rFonts w:ascii="方正小标宋简体" w:eastAsia="方正小标宋简体" w:hAnsi="宋体" w:hint="eastAsia"/>
          <w:sz w:val="44"/>
          <w:szCs w:val="44"/>
        </w:rPr>
        <w:t>社会组织承接政府职能转移和购买服务项目资质申请表</w:t>
      </w:r>
      <w:r>
        <w:rPr>
          <w:rFonts w:ascii="方正小标宋简体" w:eastAsia="方正小标宋简体" w:hAnsi="宋体" w:hint="eastAsia"/>
          <w:sz w:val="44"/>
          <w:szCs w:val="44"/>
        </w:rPr>
        <w:t xml:space="preserve">   </w:t>
      </w:r>
    </w:p>
    <w:p w:rsidR="0063696B" w:rsidRPr="007D42F6" w:rsidRDefault="0063696B" w:rsidP="0063696B">
      <w:pPr>
        <w:spacing w:line="700" w:lineRule="exact"/>
        <w:jc w:val="center"/>
        <w:rPr>
          <w:rFonts w:ascii="方正小标宋简体" w:eastAsia="方正小标宋简体" w:hAnsi="宋体"/>
          <w:sz w:val="28"/>
          <w:szCs w:val="28"/>
        </w:rPr>
      </w:pPr>
    </w:p>
    <w:tbl>
      <w:tblPr>
        <w:tblW w:w="98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1010"/>
        <w:gridCol w:w="934"/>
        <w:gridCol w:w="1679"/>
        <w:gridCol w:w="1014"/>
        <w:gridCol w:w="78"/>
        <w:gridCol w:w="11"/>
        <w:gridCol w:w="413"/>
        <w:gridCol w:w="490"/>
        <w:gridCol w:w="284"/>
        <w:gridCol w:w="65"/>
        <w:gridCol w:w="502"/>
        <w:gridCol w:w="332"/>
        <w:gridCol w:w="1083"/>
        <w:gridCol w:w="144"/>
        <w:gridCol w:w="361"/>
        <w:gridCol w:w="490"/>
        <w:gridCol w:w="947"/>
      </w:tblGrid>
      <w:tr w:rsidR="0063696B" w:rsidRPr="00302D2F" w:rsidTr="00DD04B5">
        <w:trPr>
          <w:trHeight w:val="784"/>
        </w:trPr>
        <w:tc>
          <w:tcPr>
            <w:tcW w:w="1958"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社会组织</w:t>
            </w:r>
          </w:p>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名称（盖章）</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成立时间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评估</w:t>
            </w:r>
          </w:p>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等级</w:t>
            </w:r>
          </w:p>
        </w:tc>
        <w:tc>
          <w:tcPr>
            <w:tcW w:w="947"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519"/>
        </w:trPr>
        <w:tc>
          <w:tcPr>
            <w:tcW w:w="1958"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业务主管单位</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3696B" w:rsidRDefault="0063696B" w:rsidP="00DD04B5">
            <w:pPr>
              <w:spacing w:line="400" w:lineRule="exact"/>
              <w:jc w:val="center"/>
              <w:rPr>
                <w:rFonts w:ascii="仿宋_GB2312" w:hAnsi="仿宋"/>
                <w:sz w:val="28"/>
                <w:szCs w:val="28"/>
              </w:rPr>
            </w:pPr>
            <w:r>
              <w:rPr>
                <w:rFonts w:ascii="仿宋_GB2312" w:hAnsi="仿宋" w:hint="eastAsia"/>
                <w:sz w:val="28"/>
                <w:szCs w:val="28"/>
              </w:rPr>
              <w:t>办公</w:t>
            </w:r>
          </w:p>
          <w:p w:rsidR="0063696B" w:rsidRPr="007A48AA" w:rsidRDefault="0063696B" w:rsidP="00DD04B5">
            <w:pPr>
              <w:spacing w:line="400" w:lineRule="exact"/>
              <w:jc w:val="center"/>
              <w:rPr>
                <w:rFonts w:ascii="仿宋_GB2312" w:hAnsi="仿宋"/>
                <w:sz w:val="28"/>
                <w:szCs w:val="28"/>
              </w:rPr>
            </w:pPr>
            <w:r>
              <w:rPr>
                <w:rFonts w:ascii="仿宋_GB2312" w:hAnsi="仿宋" w:hint="eastAsia"/>
                <w:sz w:val="28"/>
                <w:szCs w:val="28"/>
              </w:rPr>
              <w:t>地址</w:t>
            </w:r>
          </w:p>
        </w:tc>
        <w:tc>
          <w:tcPr>
            <w:tcW w:w="4208" w:type="dxa"/>
            <w:gridSpan w:val="9"/>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610"/>
        </w:trPr>
        <w:tc>
          <w:tcPr>
            <w:tcW w:w="1024" w:type="dxa"/>
            <w:gridSpan w:val="2"/>
            <w:vMerge w:val="restart"/>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pacing w:val="-12"/>
                <w:sz w:val="28"/>
                <w:szCs w:val="28"/>
              </w:rPr>
            </w:pPr>
            <w:r w:rsidRPr="007A48AA">
              <w:rPr>
                <w:rFonts w:ascii="仿宋_GB2312" w:hAnsi="仿宋" w:hint="eastAsia"/>
                <w:spacing w:val="-12"/>
                <w:sz w:val="28"/>
                <w:szCs w:val="28"/>
              </w:rPr>
              <w:t>负责人联系</w:t>
            </w:r>
          </w:p>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pacing w:val="-12"/>
                <w:sz w:val="28"/>
                <w:szCs w:val="28"/>
              </w:rPr>
              <w:t>方式</w:t>
            </w:r>
          </w:p>
        </w:tc>
        <w:tc>
          <w:tcPr>
            <w:tcW w:w="934"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姓名</w:t>
            </w:r>
          </w:p>
        </w:tc>
        <w:tc>
          <w:tcPr>
            <w:tcW w:w="1679"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rPr>
                <w:rFonts w:ascii="仿宋_GB2312" w:hAnsi="仿宋"/>
                <w:sz w:val="28"/>
                <w:szCs w:val="28"/>
              </w:rPr>
            </w:pPr>
            <w:r w:rsidRPr="007A48AA">
              <w:rPr>
                <w:rFonts w:ascii="仿宋_GB2312" w:hAnsi="仿宋" w:hint="eastAsia"/>
                <w:sz w:val="28"/>
                <w:szCs w:val="28"/>
              </w:rPr>
              <w:t>电子邮箱</w:t>
            </w:r>
          </w:p>
        </w:tc>
        <w:tc>
          <w:tcPr>
            <w:tcW w:w="4698" w:type="dxa"/>
            <w:gridSpan w:val="10"/>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466"/>
        </w:trPr>
        <w:tc>
          <w:tcPr>
            <w:tcW w:w="1024" w:type="dxa"/>
            <w:gridSpan w:val="2"/>
            <w:vMerge/>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widowControl/>
              <w:jc w:val="left"/>
              <w:rPr>
                <w:rFonts w:ascii="仿宋_GB2312" w:hAnsi="仿宋"/>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手机</w:t>
            </w:r>
          </w:p>
        </w:tc>
        <w:tc>
          <w:tcPr>
            <w:tcW w:w="1679"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rPr>
                <w:rFonts w:ascii="仿宋_GB2312" w:hAnsi="仿宋"/>
                <w:sz w:val="28"/>
                <w:szCs w:val="28"/>
              </w:rPr>
            </w:pPr>
            <w:r w:rsidRPr="007A48AA">
              <w:rPr>
                <w:rFonts w:ascii="仿宋_GB2312" w:hAnsi="仿宋" w:hint="eastAsia"/>
                <w:sz w:val="28"/>
                <w:szCs w:val="28"/>
              </w:rPr>
              <w:t>办公电话</w:t>
            </w: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1083"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传真</w:t>
            </w:r>
          </w:p>
        </w:tc>
        <w:tc>
          <w:tcPr>
            <w:tcW w:w="1942"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rPr>
                <w:rFonts w:ascii="仿宋_GB2312" w:hAnsi="仿宋"/>
                <w:sz w:val="28"/>
                <w:szCs w:val="28"/>
              </w:rPr>
            </w:pPr>
          </w:p>
        </w:tc>
      </w:tr>
      <w:tr w:rsidR="0063696B" w:rsidRPr="00302D2F" w:rsidTr="00DD04B5">
        <w:trPr>
          <w:trHeight w:val="789"/>
        </w:trPr>
        <w:tc>
          <w:tcPr>
            <w:tcW w:w="1958" w:type="dxa"/>
            <w:gridSpan w:val="3"/>
            <w:tcBorders>
              <w:top w:val="single" w:sz="4" w:space="0" w:color="auto"/>
              <w:left w:val="single" w:sz="4" w:space="0" w:color="auto"/>
              <w:bottom w:val="single" w:sz="4" w:space="0" w:color="auto"/>
              <w:right w:val="single" w:sz="4" w:space="0" w:color="auto"/>
            </w:tcBorders>
            <w:vAlign w:val="center"/>
          </w:tcPr>
          <w:p w:rsidR="0063696B" w:rsidRDefault="0063696B" w:rsidP="00DD04B5">
            <w:pPr>
              <w:spacing w:line="400" w:lineRule="exact"/>
              <w:jc w:val="center"/>
              <w:rPr>
                <w:rFonts w:ascii="仿宋_GB2312" w:hAnsi="仿宋"/>
                <w:sz w:val="28"/>
                <w:szCs w:val="28"/>
              </w:rPr>
            </w:pPr>
            <w:r>
              <w:rPr>
                <w:rFonts w:ascii="仿宋_GB2312" w:hAnsi="仿宋" w:hint="eastAsia"/>
                <w:sz w:val="28"/>
                <w:szCs w:val="28"/>
              </w:rPr>
              <w:t>社会组织</w:t>
            </w:r>
          </w:p>
          <w:p w:rsidR="0063696B" w:rsidRPr="007A48AA" w:rsidRDefault="0063696B" w:rsidP="00DD04B5">
            <w:pPr>
              <w:spacing w:line="400" w:lineRule="exact"/>
              <w:jc w:val="center"/>
              <w:rPr>
                <w:rFonts w:ascii="仿宋_GB2312" w:hAnsi="仿宋"/>
                <w:sz w:val="28"/>
                <w:szCs w:val="28"/>
              </w:rPr>
            </w:pPr>
            <w:r>
              <w:rPr>
                <w:rFonts w:ascii="仿宋_GB2312" w:hAnsi="仿宋" w:hint="eastAsia"/>
                <w:sz w:val="28"/>
                <w:szCs w:val="28"/>
              </w:rPr>
              <w:t>信用代码</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pacing w:val="-20"/>
                <w:sz w:val="28"/>
                <w:szCs w:val="28"/>
              </w:rPr>
            </w:pPr>
            <w:r w:rsidRPr="007A48AA">
              <w:rPr>
                <w:rFonts w:ascii="仿宋_GB2312" w:hAnsi="仿宋" w:hint="eastAsia"/>
                <w:spacing w:val="-20"/>
                <w:sz w:val="28"/>
                <w:szCs w:val="28"/>
              </w:rPr>
              <w:t>专职工作人员数</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1083" w:type="dxa"/>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党员数</w:t>
            </w:r>
          </w:p>
        </w:tc>
        <w:tc>
          <w:tcPr>
            <w:tcW w:w="1942"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426"/>
        </w:trPr>
        <w:tc>
          <w:tcPr>
            <w:tcW w:w="1958"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银行帐号</w:t>
            </w:r>
          </w:p>
        </w:tc>
        <w:tc>
          <w:tcPr>
            <w:tcW w:w="7893" w:type="dxa"/>
            <w:gridSpan w:val="15"/>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298"/>
        </w:trPr>
        <w:tc>
          <w:tcPr>
            <w:tcW w:w="1958" w:type="dxa"/>
            <w:gridSpan w:val="3"/>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年检情况</w:t>
            </w:r>
          </w:p>
        </w:tc>
        <w:tc>
          <w:tcPr>
            <w:tcW w:w="2782"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FB4E9F">
            <w:pPr>
              <w:spacing w:line="400" w:lineRule="exact"/>
              <w:rPr>
                <w:rFonts w:ascii="仿宋_GB2312" w:hAnsi="仿宋"/>
                <w:sz w:val="28"/>
                <w:szCs w:val="28"/>
              </w:rPr>
            </w:pPr>
            <w:r w:rsidRPr="007A48AA">
              <w:rPr>
                <w:rFonts w:ascii="仿宋_GB2312" w:hAnsi="仿宋" w:hint="eastAsia"/>
                <w:sz w:val="28"/>
                <w:szCs w:val="28"/>
              </w:rPr>
              <w:t>20</w:t>
            </w:r>
            <w:r w:rsidR="00FB4E9F">
              <w:rPr>
                <w:rFonts w:ascii="仿宋_GB2312" w:hAnsi="仿宋" w:hint="eastAsia"/>
                <w:sz w:val="28"/>
                <w:szCs w:val="28"/>
              </w:rPr>
              <w:t>15</w:t>
            </w:r>
            <w:r w:rsidRPr="007A48AA">
              <w:rPr>
                <w:rFonts w:ascii="仿宋_GB2312" w:hAnsi="仿宋" w:hint="eastAsia"/>
                <w:sz w:val="28"/>
                <w:szCs w:val="28"/>
              </w:rPr>
              <w:t>年年检结论</w:t>
            </w:r>
          </w:p>
        </w:tc>
        <w:tc>
          <w:tcPr>
            <w:tcW w:w="1252" w:type="dxa"/>
            <w:gridSpan w:val="4"/>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c>
          <w:tcPr>
            <w:tcW w:w="2422" w:type="dxa"/>
            <w:gridSpan w:val="5"/>
            <w:tcBorders>
              <w:top w:val="single" w:sz="4" w:space="0" w:color="auto"/>
              <w:left w:val="single" w:sz="4" w:space="0" w:color="auto"/>
              <w:bottom w:val="single" w:sz="4" w:space="0" w:color="auto"/>
              <w:right w:val="single" w:sz="4" w:space="0" w:color="auto"/>
            </w:tcBorders>
            <w:vAlign w:val="center"/>
          </w:tcPr>
          <w:p w:rsidR="0063696B" w:rsidRPr="007A48AA" w:rsidRDefault="0063696B" w:rsidP="00FB4E9F">
            <w:pPr>
              <w:spacing w:line="400" w:lineRule="exact"/>
              <w:rPr>
                <w:rFonts w:ascii="仿宋_GB2312" w:hAnsi="仿宋"/>
                <w:sz w:val="28"/>
                <w:szCs w:val="28"/>
              </w:rPr>
            </w:pPr>
            <w:r w:rsidRPr="007A48AA">
              <w:rPr>
                <w:rFonts w:ascii="仿宋_GB2312" w:hAnsi="仿宋" w:hint="eastAsia"/>
                <w:sz w:val="28"/>
                <w:szCs w:val="28"/>
              </w:rPr>
              <w:t>20</w:t>
            </w:r>
            <w:r w:rsidR="00FB4E9F">
              <w:rPr>
                <w:rFonts w:ascii="仿宋_GB2312" w:hAnsi="仿宋" w:hint="eastAsia"/>
                <w:sz w:val="28"/>
                <w:szCs w:val="28"/>
              </w:rPr>
              <w:t>16</w:t>
            </w:r>
            <w:r w:rsidRPr="007A48AA">
              <w:rPr>
                <w:rFonts w:ascii="仿宋_GB2312" w:hAnsi="仿宋" w:hint="eastAsia"/>
                <w:sz w:val="28"/>
                <w:szCs w:val="28"/>
              </w:rPr>
              <w:t>年年检结论</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1051"/>
        </w:trPr>
        <w:tc>
          <w:tcPr>
            <w:tcW w:w="1958" w:type="dxa"/>
            <w:gridSpan w:val="3"/>
            <w:tcBorders>
              <w:top w:val="single" w:sz="4" w:space="0" w:color="auto"/>
              <w:left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r w:rsidRPr="007A48AA">
              <w:rPr>
                <w:rFonts w:ascii="仿宋_GB2312" w:hAnsi="仿宋" w:hint="eastAsia"/>
                <w:sz w:val="28"/>
                <w:szCs w:val="28"/>
              </w:rPr>
              <w:t>业务范围</w:t>
            </w:r>
          </w:p>
        </w:tc>
        <w:tc>
          <w:tcPr>
            <w:tcW w:w="7893" w:type="dxa"/>
            <w:gridSpan w:val="15"/>
            <w:tcBorders>
              <w:top w:val="single" w:sz="4" w:space="0" w:color="auto"/>
              <w:left w:val="single" w:sz="4" w:space="0" w:color="auto"/>
              <w:right w:val="single" w:sz="4" w:space="0" w:color="auto"/>
            </w:tcBorders>
            <w:vAlign w:val="center"/>
          </w:tcPr>
          <w:p w:rsidR="0063696B" w:rsidRPr="007A48AA" w:rsidRDefault="0063696B" w:rsidP="00DD04B5">
            <w:pPr>
              <w:spacing w:line="400" w:lineRule="exact"/>
              <w:jc w:val="center"/>
              <w:rPr>
                <w:rFonts w:ascii="仿宋_GB2312" w:hAnsi="仿宋"/>
                <w:sz w:val="28"/>
                <w:szCs w:val="28"/>
              </w:rPr>
            </w:pPr>
          </w:p>
        </w:tc>
      </w:tr>
      <w:tr w:rsidR="0063696B" w:rsidRPr="00302D2F" w:rsidTr="00DD04B5">
        <w:trPr>
          <w:trHeight w:val="785"/>
        </w:trPr>
        <w:tc>
          <w:tcPr>
            <w:tcW w:w="9851" w:type="dxa"/>
            <w:gridSpan w:val="18"/>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20" w:lineRule="exact"/>
              <w:jc w:val="center"/>
              <w:rPr>
                <w:rFonts w:ascii="仿宋_GB2312" w:hAnsi="仿宋"/>
                <w:sz w:val="28"/>
                <w:szCs w:val="28"/>
              </w:rPr>
            </w:pPr>
            <w:r w:rsidRPr="007A48AA">
              <w:rPr>
                <w:rFonts w:ascii="仿宋_GB2312" w:hAnsi="仿宋" w:hint="eastAsia"/>
                <w:sz w:val="28"/>
                <w:szCs w:val="28"/>
              </w:rPr>
              <w:t>近三年承接政府职能转移、授权、委托事项</w:t>
            </w:r>
          </w:p>
          <w:p w:rsidR="0063696B" w:rsidRPr="007A48AA" w:rsidRDefault="0063696B" w:rsidP="00DD04B5">
            <w:pPr>
              <w:spacing w:line="420" w:lineRule="exact"/>
              <w:jc w:val="center"/>
              <w:rPr>
                <w:rFonts w:ascii="仿宋_GB2312" w:hAnsi="仿宋"/>
                <w:b/>
                <w:sz w:val="28"/>
                <w:szCs w:val="28"/>
              </w:rPr>
            </w:pPr>
            <w:r w:rsidRPr="007A48AA">
              <w:rPr>
                <w:rFonts w:ascii="仿宋_GB2312" w:hAnsi="仿宋" w:hint="eastAsia"/>
                <w:sz w:val="28"/>
                <w:szCs w:val="28"/>
              </w:rPr>
              <w:t>和购买服务项目、资金情况及绩效自评情况</w:t>
            </w:r>
          </w:p>
        </w:tc>
      </w:tr>
      <w:tr w:rsidR="0063696B" w:rsidRPr="00302D2F" w:rsidTr="00DD04B5">
        <w:trPr>
          <w:cantSplit/>
          <w:trHeight w:val="2117"/>
        </w:trPr>
        <w:tc>
          <w:tcPr>
            <w:tcW w:w="9851" w:type="dxa"/>
            <w:gridSpan w:val="18"/>
            <w:tcBorders>
              <w:top w:val="single" w:sz="4" w:space="0" w:color="auto"/>
              <w:left w:val="single" w:sz="4" w:space="0" w:color="auto"/>
              <w:bottom w:val="single" w:sz="4" w:space="0" w:color="auto"/>
              <w:right w:val="single" w:sz="4" w:space="0" w:color="auto"/>
            </w:tcBorders>
          </w:tcPr>
          <w:p w:rsidR="0063696B" w:rsidRDefault="0063696B" w:rsidP="00DD04B5">
            <w:pPr>
              <w:spacing w:line="640" w:lineRule="exact"/>
              <w:rPr>
                <w:rFonts w:ascii="仿宋_GB2312" w:hAnsi="仿宋"/>
                <w:sz w:val="28"/>
                <w:szCs w:val="28"/>
              </w:rPr>
            </w:pPr>
          </w:p>
          <w:p w:rsidR="0063696B" w:rsidRDefault="0063696B" w:rsidP="00DD04B5">
            <w:pPr>
              <w:spacing w:line="640" w:lineRule="exact"/>
              <w:rPr>
                <w:rFonts w:ascii="仿宋_GB2312" w:hAnsi="仿宋"/>
                <w:sz w:val="28"/>
                <w:szCs w:val="28"/>
              </w:rPr>
            </w:pPr>
          </w:p>
          <w:p w:rsidR="0063696B" w:rsidRDefault="0063696B" w:rsidP="00DD04B5">
            <w:pPr>
              <w:spacing w:line="640" w:lineRule="exact"/>
              <w:rPr>
                <w:rFonts w:ascii="仿宋_GB2312" w:hAnsi="仿宋"/>
                <w:sz w:val="28"/>
                <w:szCs w:val="28"/>
              </w:rPr>
            </w:pPr>
          </w:p>
          <w:p w:rsidR="0063696B" w:rsidRDefault="0063696B" w:rsidP="00DD04B5">
            <w:pPr>
              <w:spacing w:line="640" w:lineRule="exact"/>
              <w:rPr>
                <w:rFonts w:ascii="仿宋_GB2312" w:hAnsi="仿宋"/>
                <w:sz w:val="28"/>
                <w:szCs w:val="28"/>
              </w:rPr>
            </w:pPr>
          </w:p>
          <w:p w:rsidR="0063696B" w:rsidRDefault="0063696B" w:rsidP="00DD04B5">
            <w:pPr>
              <w:spacing w:line="640" w:lineRule="exact"/>
              <w:rPr>
                <w:rFonts w:ascii="仿宋_GB2312" w:hAnsi="仿宋"/>
                <w:sz w:val="28"/>
                <w:szCs w:val="28"/>
              </w:rPr>
            </w:pPr>
          </w:p>
          <w:p w:rsidR="0063696B" w:rsidRDefault="0063696B" w:rsidP="00DD04B5">
            <w:pPr>
              <w:spacing w:line="640" w:lineRule="exact"/>
              <w:rPr>
                <w:rFonts w:ascii="仿宋_GB2312" w:hAnsi="仿宋"/>
                <w:sz w:val="28"/>
                <w:szCs w:val="28"/>
              </w:rPr>
            </w:pPr>
          </w:p>
          <w:p w:rsidR="0063696B" w:rsidRPr="007A48AA" w:rsidRDefault="0063696B" w:rsidP="00DD04B5">
            <w:pPr>
              <w:spacing w:line="640" w:lineRule="exact"/>
              <w:rPr>
                <w:rFonts w:ascii="仿宋_GB2312" w:hAnsi="仿宋"/>
                <w:sz w:val="28"/>
                <w:szCs w:val="28"/>
              </w:rPr>
            </w:pPr>
          </w:p>
        </w:tc>
      </w:tr>
      <w:tr w:rsidR="0063696B" w:rsidRPr="00302D2F" w:rsidTr="00DD04B5">
        <w:trPr>
          <w:cantSplit/>
          <w:trHeight w:val="631"/>
        </w:trPr>
        <w:tc>
          <w:tcPr>
            <w:tcW w:w="9851" w:type="dxa"/>
            <w:gridSpan w:val="18"/>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640" w:lineRule="exact"/>
              <w:ind w:firstLineChars="200" w:firstLine="560"/>
              <w:jc w:val="center"/>
              <w:rPr>
                <w:rFonts w:ascii="仿宋_GB2312" w:hAnsi="仿宋"/>
                <w:sz w:val="28"/>
                <w:szCs w:val="28"/>
              </w:rPr>
            </w:pPr>
            <w:r w:rsidRPr="007A48AA">
              <w:rPr>
                <w:rFonts w:ascii="仿宋_GB2312" w:hAnsi="仿宋" w:hint="eastAsia"/>
                <w:sz w:val="28"/>
                <w:szCs w:val="28"/>
              </w:rPr>
              <w:lastRenderedPageBreak/>
              <w:t>拟申请承接的政府职能转移、授权、委托事项和购买服务项目</w:t>
            </w:r>
          </w:p>
        </w:tc>
      </w:tr>
      <w:tr w:rsidR="0063696B" w:rsidRPr="00302D2F" w:rsidTr="00DD04B5">
        <w:trPr>
          <w:cantSplit/>
          <w:trHeight w:val="2221"/>
        </w:trPr>
        <w:tc>
          <w:tcPr>
            <w:tcW w:w="9851" w:type="dxa"/>
            <w:gridSpan w:val="18"/>
            <w:tcBorders>
              <w:top w:val="single" w:sz="4" w:space="0" w:color="auto"/>
              <w:left w:val="single" w:sz="4" w:space="0" w:color="auto"/>
              <w:bottom w:val="single" w:sz="4" w:space="0" w:color="auto"/>
              <w:right w:val="single" w:sz="4" w:space="0" w:color="auto"/>
            </w:tcBorders>
          </w:tcPr>
          <w:p w:rsidR="0063696B" w:rsidRDefault="0063696B" w:rsidP="00DD04B5">
            <w:pPr>
              <w:rPr>
                <w:rFonts w:ascii="仿宋_GB2312" w:hAnsi="仿宋"/>
                <w:sz w:val="28"/>
                <w:szCs w:val="28"/>
              </w:rPr>
            </w:pPr>
          </w:p>
          <w:p w:rsidR="0063696B" w:rsidRDefault="0063696B" w:rsidP="00DD04B5">
            <w:pPr>
              <w:rPr>
                <w:rFonts w:ascii="仿宋_GB2312" w:hAnsi="仿宋"/>
                <w:sz w:val="28"/>
                <w:szCs w:val="28"/>
              </w:rPr>
            </w:pPr>
          </w:p>
          <w:p w:rsidR="0063696B" w:rsidRDefault="0063696B" w:rsidP="00DD04B5">
            <w:pPr>
              <w:rPr>
                <w:rFonts w:ascii="仿宋_GB2312" w:hAnsi="仿宋"/>
                <w:sz w:val="28"/>
                <w:szCs w:val="28"/>
              </w:rPr>
            </w:pPr>
          </w:p>
          <w:p w:rsidR="0063696B" w:rsidRPr="007A48AA" w:rsidRDefault="0063696B" w:rsidP="00DD04B5">
            <w:pPr>
              <w:rPr>
                <w:rFonts w:ascii="仿宋_GB2312" w:hAnsi="仿宋"/>
                <w:sz w:val="28"/>
                <w:szCs w:val="28"/>
              </w:rPr>
            </w:pPr>
          </w:p>
        </w:tc>
      </w:tr>
      <w:tr w:rsidR="0063696B" w:rsidRPr="00302D2F" w:rsidTr="00DD04B5">
        <w:trPr>
          <w:cantSplit/>
          <w:trHeight w:val="627"/>
        </w:trPr>
        <w:tc>
          <w:tcPr>
            <w:tcW w:w="9851" w:type="dxa"/>
            <w:gridSpan w:val="18"/>
            <w:tcBorders>
              <w:top w:val="single" w:sz="4" w:space="0" w:color="auto"/>
              <w:left w:val="single" w:sz="4" w:space="0" w:color="auto"/>
              <w:bottom w:val="single" w:sz="4" w:space="0" w:color="auto"/>
              <w:right w:val="single" w:sz="4" w:space="0" w:color="auto"/>
            </w:tcBorders>
            <w:vAlign w:val="center"/>
          </w:tcPr>
          <w:p w:rsidR="0063696B" w:rsidRPr="007A48AA" w:rsidRDefault="0063696B" w:rsidP="00DD04B5">
            <w:pPr>
              <w:spacing w:line="420" w:lineRule="exact"/>
              <w:jc w:val="center"/>
              <w:rPr>
                <w:rFonts w:ascii="仿宋_GB2312" w:hAnsi="仿宋"/>
                <w:sz w:val="28"/>
                <w:szCs w:val="28"/>
              </w:rPr>
            </w:pPr>
            <w:r w:rsidRPr="007A48AA">
              <w:rPr>
                <w:rFonts w:ascii="仿宋_GB2312" w:hAnsi="仿宋" w:hint="eastAsia"/>
                <w:sz w:val="28"/>
                <w:szCs w:val="28"/>
              </w:rPr>
              <w:t>申请单位具备承接政府职能转移和购买服务的必要条件和优先条件</w:t>
            </w:r>
          </w:p>
        </w:tc>
      </w:tr>
      <w:tr w:rsidR="0063696B" w:rsidRPr="00302D2F" w:rsidTr="00DD04B5">
        <w:trPr>
          <w:cantSplit/>
          <w:trHeight w:val="3192"/>
        </w:trPr>
        <w:tc>
          <w:tcPr>
            <w:tcW w:w="9851" w:type="dxa"/>
            <w:gridSpan w:val="18"/>
            <w:tcBorders>
              <w:top w:val="single" w:sz="4" w:space="0" w:color="auto"/>
              <w:left w:val="single" w:sz="4" w:space="0" w:color="auto"/>
              <w:bottom w:val="single" w:sz="4" w:space="0" w:color="auto"/>
              <w:right w:val="single" w:sz="4" w:space="0" w:color="auto"/>
            </w:tcBorders>
            <w:vAlign w:val="center"/>
          </w:tcPr>
          <w:p w:rsidR="0063696B" w:rsidRDefault="0063696B" w:rsidP="00DD04B5">
            <w:pPr>
              <w:tabs>
                <w:tab w:val="left" w:pos="6070"/>
              </w:tabs>
              <w:jc w:val="left"/>
              <w:rPr>
                <w:rFonts w:ascii="仿宋_GB2312" w:hAnsi="仿宋"/>
                <w:sz w:val="28"/>
                <w:szCs w:val="28"/>
              </w:rPr>
            </w:pPr>
          </w:p>
          <w:p w:rsidR="0063696B" w:rsidRPr="007A48AA" w:rsidRDefault="0063696B" w:rsidP="00DD04B5">
            <w:pPr>
              <w:tabs>
                <w:tab w:val="left" w:pos="6070"/>
              </w:tabs>
              <w:jc w:val="left"/>
              <w:rPr>
                <w:rFonts w:ascii="仿宋_GB2312" w:hAnsi="仿宋"/>
                <w:sz w:val="28"/>
                <w:szCs w:val="28"/>
              </w:rPr>
            </w:pPr>
          </w:p>
        </w:tc>
      </w:tr>
      <w:tr w:rsidR="0063696B" w:rsidRPr="00302D2F" w:rsidTr="00DD04B5">
        <w:trPr>
          <w:gridBefore w:val="1"/>
          <w:wBefore w:w="14" w:type="dxa"/>
          <w:cantSplit/>
          <w:trHeight w:hRule="exact" w:val="2820"/>
        </w:trPr>
        <w:tc>
          <w:tcPr>
            <w:tcW w:w="4715" w:type="dxa"/>
            <w:gridSpan w:val="5"/>
            <w:tcBorders>
              <w:top w:val="single" w:sz="6" w:space="0" w:color="auto"/>
              <w:left w:val="single" w:sz="6" w:space="0" w:color="auto"/>
              <w:bottom w:val="single" w:sz="6" w:space="0" w:color="auto"/>
              <w:right w:val="single" w:sz="6" w:space="0" w:color="auto"/>
            </w:tcBorders>
          </w:tcPr>
          <w:p w:rsidR="0063696B" w:rsidRPr="007A48AA" w:rsidRDefault="0063696B" w:rsidP="00DD04B5">
            <w:pPr>
              <w:rPr>
                <w:rFonts w:ascii="仿宋_GB2312" w:hAnsi="仿宋"/>
                <w:bCs/>
                <w:sz w:val="28"/>
                <w:szCs w:val="28"/>
              </w:rPr>
            </w:pPr>
            <w:r w:rsidRPr="007A48AA">
              <w:rPr>
                <w:rFonts w:ascii="仿宋_GB2312" w:hAnsi="仿宋" w:hint="eastAsia"/>
                <w:bCs/>
                <w:sz w:val="28"/>
                <w:szCs w:val="28"/>
              </w:rPr>
              <w:t>社会组织法定代表人签名：</w:t>
            </w:r>
          </w:p>
          <w:p w:rsidR="0063696B" w:rsidRPr="007A48AA" w:rsidRDefault="0063696B" w:rsidP="00DD04B5">
            <w:pPr>
              <w:rPr>
                <w:rFonts w:ascii="仿宋_GB2312" w:hAnsi="仿宋"/>
                <w:bCs/>
                <w:sz w:val="28"/>
                <w:szCs w:val="28"/>
              </w:rPr>
            </w:pPr>
          </w:p>
          <w:p w:rsidR="0063696B" w:rsidRPr="007A48AA" w:rsidRDefault="0063696B" w:rsidP="00DD04B5">
            <w:pPr>
              <w:rPr>
                <w:rFonts w:ascii="仿宋_GB2312" w:hAnsi="仿宋"/>
                <w:bCs/>
                <w:sz w:val="28"/>
                <w:szCs w:val="28"/>
              </w:rPr>
            </w:pPr>
            <w:r w:rsidRPr="007A48AA">
              <w:rPr>
                <w:rFonts w:ascii="仿宋_GB2312" w:hAnsi="仿宋" w:hint="eastAsia"/>
                <w:bCs/>
                <w:sz w:val="28"/>
                <w:szCs w:val="28"/>
              </w:rPr>
              <w:t xml:space="preserve">                   </w:t>
            </w:r>
          </w:p>
          <w:p w:rsidR="0063696B" w:rsidRPr="007A48AA" w:rsidRDefault="0063696B" w:rsidP="00DD04B5">
            <w:pPr>
              <w:spacing w:line="400" w:lineRule="exact"/>
              <w:ind w:right="640"/>
              <w:jc w:val="center"/>
              <w:rPr>
                <w:rFonts w:ascii="仿宋_GB2312" w:hAnsi="仿宋"/>
                <w:bCs/>
                <w:sz w:val="28"/>
                <w:szCs w:val="28"/>
              </w:rPr>
            </w:pPr>
            <w:r w:rsidRPr="007A48AA">
              <w:rPr>
                <w:rFonts w:ascii="仿宋_GB2312" w:hAnsi="仿宋" w:hint="eastAsia"/>
                <w:bCs/>
                <w:sz w:val="28"/>
                <w:szCs w:val="28"/>
              </w:rPr>
              <w:t xml:space="preserve">                （印章）</w:t>
            </w:r>
          </w:p>
          <w:p w:rsidR="0063696B" w:rsidRPr="007A48AA" w:rsidRDefault="0063696B" w:rsidP="00DD04B5">
            <w:pPr>
              <w:spacing w:line="420" w:lineRule="exact"/>
              <w:ind w:firstLineChars="450" w:firstLine="1260"/>
              <w:rPr>
                <w:rFonts w:ascii="仿宋_GB2312" w:hAnsi="仿宋"/>
                <w:bCs/>
                <w:sz w:val="28"/>
                <w:szCs w:val="28"/>
              </w:rPr>
            </w:pPr>
            <w:r w:rsidRPr="007A48AA">
              <w:rPr>
                <w:rFonts w:ascii="仿宋_GB2312" w:hAnsi="仿宋" w:hint="eastAsia"/>
                <w:bCs/>
                <w:sz w:val="28"/>
                <w:szCs w:val="28"/>
              </w:rPr>
              <w:t xml:space="preserve">       年   月   日              </w:t>
            </w:r>
          </w:p>
          <w:p w:rsidR="0063696B" w:rsidRPr="007A48AA" w:rsidRDefault="0063696B" w:rsidP="00DD04B5">
            <w:pPr>
              <w:rPr>
                <w:rFonts w:ascii="仿宋_GB2312" w:hAnsi="仿宋"/>
                <w:bCs/>
                <w:sz w:val="28"/>
                <w:szCs w:val="28"/>
              </w:rPr>
            </w:pPr>
            <w:r w:rsidRPr="007A48AA">
              <w:rPr>
                <w:rFonts w:ascii="仿宋_GB2312" w:hAnsi="仿宋" w:hint="eastAsia"/>
                <w:bCs/>
                <w:sz w:val="28"/>
                <w:szCs w:val="28"/>
              </w:rPr>
              <w:t xml:space="preserve"> </w:t>
            </w:r>
          </w:p>
        </w:tc>
        <w:tc>
          <w:tcPr>
            <w:tcW w:w="5122" w:type="dxa"/>
            <w:gridSpan w:val="12"/>
            <w:tcBorders>
              <w:top w:val="single" w:sz="6" w:space="0" w:color="auto"/>
              <w:left w:val="single" w:sz="6" w:space="0" w:color="auto"/>
              <w:bottom w:val="single" w:sz="6" w:space="0" w:color="auto"/>
              <w:right w:val="single" w:sz="6" w:space="0" w:color="auto"/>
            </w:tcBorders>
          </w:tcPr>
          <w:p w:rsidR="0063696B" w:rsidRPr="007A48AA" w:rsidRDefault="0063696B" w:rsidP="00DD04B5">
            <w:pPr>
              <w:rPr>
                <w:rFonts w:ascii="仿宋_GB2312" w:hAnsi="仿宋"/>
                <w:bCs/>
                <w:sz w:val="28"/>
                <w:szCs w:val="28"/>
              </w:rPr>
            </w:pPr>
            <w:r w:rsidRPr="007A48AA">
              <w:rPr>
                <w:rFonts w:ascii="仿宋_GB2312" w:hAnsi="仿宋" w:hint="eastAsia"/>
                <w:bCs/>
                <w:sz w:val="28"/>
                <w:szCs w:val="28"/>
              </w:rPr>
              <w:t>业务主管单位审核意见</w:t>
            </w:r>
            <w:r>
              <w:rPr>
                <w:rFonts w:ascii="仿宋_GB2312" w:hAnsi="仿宋" w:hint="eastAsia"/>
                <w:bCs/>
                <w:sz w:val="28"/>
                <w:szCs w:val="28"/>
              </w:rPr>
              <w:t>：</w:t>
            </w:r>
          </w:p>
          <w:p w:rsidR="0063696B" w:rsidRPr="007A48AA" w:rsidRDefault="0063696B" w:rsidP="00DD04B5">
            <w:pPr>
              <w:jc w:val="center"/>
              <w:rPr>
                <w:rFonts w:ascii="仿宋_GB2312" w:hAnsi="仿宋"/>
                <w:bCs/>
                <w:sz w:val="28"/>
                <w:szCs w:val="28"/>
              </w:rPr>
            </w:pPr>
          </w:p>
          <w:p w:rsidR="0063696B" w:rsidRPr="007A48AA" w:rsidRDefault="0063696B" w:rsidP="00DD04B5">
            <w:pPr>
              <w:rPr>
                <w:rFonts w:ascii="仿宋_GB2312" w:hAnsi="仿宋"/>
                <w:bCs/>
                <w:sz w:val="28"/>
                <w:szCs w:val="28"/>
              </w:rPr>
            </w:pPr>
            <w:r w:rsidRPr="007A48AA">
              <w:rPr>
                <w:rFonts w:ascii="仿宋_GB2312" w:hAnsi="仿宋" w:hint="eastAsia"/>
                <w:bCs/>
                <w:sz w:val="28"/>
                <w:szCs w:val="28"/>
              </w:rPr>
              <w:t>经办人：</w:t>
            </w:r>
          </w:p>
          <w:p w:rsidR="0063696B" w:rsidRPr="007A48AA" w:rsidRDefault="0063696B" w:rsidP="00DD04B5">
            <w:pPr>
              <w:spacing w:line="400" w:lineRule="exact"/>
              <w:ind w:right="1426"/>
              <w:jc w:val="center"/>
              <w:rPr>
                <w:rFonts w:ascii="仿宋_GB2312" w:hAnsi="仿宋"/>
                <w:bCs/>
                <w:sz w:val="28"/>
                <w:szCs w:val="28"/>
              </w:rPr>
            </w:pPr>
            <w:r w:rsidRPr="007A48AA">
              <w:rPr>
                <w:rFonts w:ascii="仿宋_GB2312" w:hAnsi="仿宋" w:hint="eastAsia"/>
                <w:bCs/>
                <w:sz w:val="28"/>
                <w:szCs w:val="28"/>
              </w:rPr>
              <w:t xml:space="preserve">           （印章）</w:t>
            </w:r>
          </w:p>
          <w:p w:rsidR="0063696B" w:rsidRPr="007A48AA" w:rsidRDefault="0063696B" w:rsidP="00DD04B5">
            <w:pPr>
              <w:spacing w:line="420" w:lineRule="exact"/>
              <w:jc w:val="center"/>
              <w:rPr>
                <w:rFonts w:ascii="仿宋_GB2312" w:hAnsi="仿宋"/>
                <w:bCs/>
                <w:sz w:val="28"/>
                <w:szCs w:val="28"/>
              </w:rPr>
            </w:pPr>
            <w:r w:rsidRPr="007A48AA">
              <w:rPr>
                <w:rFonts w:ascii="仿宋_GB2312" w:hAnsi="仿宋" w:hint="eastAsia"/>
                <w:bCs/>
                <w:sz w:val="28"/>
                <w:szCs w:val="28"/>
              </w:rPr>
              <w:t xml:space="preserve">     年   月   日</w:t>
            </w:r>
          </w:p>
        </w:tc>
      </w:tr>
      <w:tr w:rsidR="0063696B" w:rsidRPr="00302D2F" w:rsidTr="00DD04B5">
        <w:trPr>
          <w:gridBefore w:val="1"/>
          <w:wBefore w:w="14" w:type="dxa"/>
          <w:cantSplit/>
          <w:trHeight w:val="589"/>
        </w:trPr>
        <w:tc>
          <w:tcPr>
            <w:tcW w:w="9837" w:type="dxa"/>
            <w:gridSpan w:val="17"/>
            <w:tcBorders>
              <w:top w:val="single" w:sz="6" w:space="0" w:color="auto"/>
              <w:left w:val="single" w:sz="6" w:space="0" w:color="auto"/>
              <w:bottom w:val="single" w:sz="6" w:space="0" w:color="auto"/>
              <w:right w:val="single" w:sz="6" w:space="0" w:color="auto"/>
            </w:tcBorders>
            <w:vAlign w:val="center"/>
          </w:tcPr>
          <w:p w:rsidR="0063696B" w:rsidRPr="007A48AA" w:rsidRDefault="0063696B" w:rsidP="00DD04B5">
            <w:pPr>
              <w:jc w:val="center"/>
              <w:rPr>
                <w:rFonts w:ascii="仿宋_GB2312" w:hAnsi="仿宋"/>
                <w:bCs/>
                <w:sz w:val="28"/>
                <w:szCs w:val="28"/>
              </w:rPr>
            </w:pPr>
            <w:r w:rsidRPr="007A48AA">
              <w:rPr>
                <w:rFonts w:ascii="仿宋_GB2312" w:hAnsi="仿宋" w:hint="eastAsia"/>
                <w:bCs/>
                <w:sz w:val="28"/>
                <w:szCs w:val="28"/>
              </w:rPr>
              <w:t>登记管理机关审核意见</w:t>
            </w:r>
          </w:p>
        </w:tc>
      </w:tr>
      <w:tr w:rsidR="0063696B" w:rsidRPr="00302D2F" w:rsidTr="00DD04B5">
        <w:trPr>
          <w:gridBefore w:val="1"/>
          <w:wBefore w:w="14" w:type="dxa"/>
          <w:cantSplit/>
          <w:trHeight w:val="2631"/>
        </w:trPr>
        <w:tc>
          <w:tcPr>
            <w:tcW w:w="9837" w:type="dxa"/>
            <w:gridSpan w:val="17"/>
            <w:tcBorders>
              <w:top w:val="single" w:sz="6" w:space="0" w:color="auto"/>
              <w:left w:val="single" w:sz="6" w:space="0" w:color="auto"/>
              <w:bottom w:val="single" w:sz="6" w:space="0" w:color="auto"/>
              <w:right w:val="single" w:sz="6" w:space="0" w:color="auto"/>
            </w:tcBorders>
            <w:vAlign w:val="center"/>
          </w:tcPr>
          <w:p w:rsidR="0063696B" w:rsidRDefault="0063696B" w:rsidP="00DD04B5">
            <w:pPr>
              <w:ind w:right="640"/>
              <w:rPr>
                <w:rFonts w:ascii="仿宋_GB2312" w:hAnsi="仿宋"/>
                <w:bCs/>
                <w:sz w:val="28"/>
                <w:szCs w:val="28"/>
              </w:rPr>
            </w:pPr>
            <w:r w:rsidRPr="007A48AA">
              <w:rPr>
                <w:rFonts w:ascii="仿宋_GB2312" w:hAnsi="仿宋" w:hint="eastAsia"/>
                <w:bCs/>
                <w:sz w:val="28"/>
                <w:szCs w:val="28"/>
              </w:rPr>
              <w:t xml:space="preserve">                           </w:t>
            </w:r>
          </w:p>
          <w:p w:rsidR="0063696B" w:rsidRPr="007A48AA" w:rsidRDefault="0063696B" w:rsidP="00DD04B5">
            <w:pPr>
              <w:ind w:right="640"/>
              <w:rPr>
                <w:rFonts w:ascii="仿宋_GB2312" w:hAnsi="仿宋"/>
                <w:bCs/>
                <w:sz w:val="28"/>
                <w:szCs w:val="28"/>
              </w:rPr>
            </w:pPr>
            <w:r w:rsidRPr="007A48AA">
              <w:rPr>
                <w:rFonts w:ascii="仿宋_GB2312" w:hAnsi="仿宋" w:hint="eastAsia"/>
                <w:bCs/>
                <w:sz w:val="28"/>
                <w:szCs w:val="28"/>
              </w:rPr>
              <w:t xml:space="preserve">              </w:t>
            </w:r>
          </w:p>
          <w:p w:rsidR="0063696B" w:rsidRPr="007A48AA" w:rsidRDefault="0063696B" w:rsidP="00DD04B5">
            <w:pPr>
              <w:ind w:right="640"/>
              <w:jc w:val="center"/>
              <w:rPr>
                <w:rFonts w:ascii="仿宋_GB2312" w:hAnsi="仿宋"/>
                <w:bCs/>
                <w:sz w:val="28"/>
                <w:szCs w:val="28"/>
              </w:rPr>
            </w:pPr>
            <w:r w:rsidRPr="007A48AA">
              <w:rPr>
                <w:rFonts w:ascii="仿宋_GB2312" w:hAnsi="仿宋" w:hint="eastAsia"/>
                <w:bCs/>
                <w:sz w:val="28"/>
                <w:szCs w:val="28"/>
              </w:rPr>
              <w:t xml:space="preserve">                                       </w:t>
            </w:r>
          </w:p>
          <w:p w:rsidR="0063696B" w:rsidRPr="007A48AA" w:rsidRDefault="0063696B" w:rsidP="00DD04B5">
            <w:pPr>
              <w:spacing w:line="400" w:lineRule="exact"/>
              <w:ind w:right="640"/>
              <w:jc w:val="center"/>
              <w:rPr>
                <w:rFonts w:ascii="仿宋_GB2312" w:hAnsi="仿宋"/>
                <w:bCs/>
                <w:sz w:val="28"/>
                <w:szCs w:val="28"/>
              </w:rPr>
            </w:pPr>
            <w:r w:rsidRPr="007A48AA">
              <w:rPr>
                <w:rFonts w:ascii="仿宋_GB2312" w:hAnsi="仿宋" w:hint="eastAsia"/>
                <w:bCs/>
                <w:sz w:val="28"/>
                <w:szCs w:val="28"/>
              </w:rPr>
              <w:t xml:space="preserve">                                      （印章）</w:t>
            </w:r>
          </w:p>
          <w:p w:rsidR="0063696B" w:rsidRPr="007A48AA" w:rsidRDefault="0063696B" w:rsidP="00DD04B5">
            <w:pPr>
              <w:spacing w:line="400" w:lineRule="exact"/>
              <w:ind w:firstLineChars="2250" w:firstLine="6300"/>
              <w:rPr>
                <w:rFonts w:ascii="仿宋_GB2312" w:hAnsi="仿宋"/>
                <w:bCs/>
                <w:sz w:val="28"/>
                <w:szCs w:val="28"/>
              </w:rPr>
            </w:pPr>
            <w:r w:rsidRPr="007A48AA">
              <w:rPr>
                <w:rFonts w:ascii="仿宋_GB2312" w:hAnsi="仿宋" w:hint="eastAsia"/>
                <w:bCs/>
                <w:sz w:val="28"/>
                <w:szCs w:val="28"/>
              </w:rPr>
              <w:t>年   月   日</w:t>
            </w:r>
          </w:p>
          <w:p w:rsidR="0063696B" w:rsidRPr="007A48AA" w:rsidRDefault="0063696B" w:rsidP="00467823">
            <w:pPr>
              <w:spacing w:beforeLines="10"/>
              <w:ind w:right="560"/>
              <w:rPr>
                <w:rFonts w:ascii="仿宋_GB2312" w:hAnsi="仿宋"/>
                <w:bCs/>
                <w:sz w:val="28"/>
                <w:szCs w:val="28"/>
              </w:rPr>
            </w:pPr>
          </w:p>
        </w:tc>
      </w:tr>
    </w:tbl>
    <w:p w:rsidR="0063696B" w:rsidRDefault="0063696B" w:rsidP="0063696B">
      <w:pPr>
        <w:spacing w:line="570" w:lineRule="exact"/>
        <w:rPr>
          <w:rFonts w:ascii="黑体" w:eastAsia="黑体" w:hAnsi="黑体"/>
          <w:szCs w:val="32"/>
        </w:rPr>
      </w:pPr>
      <w:r w:rsidRPr="007D42F6">
        <w:rPr>
          <w:rFonts w:ascii="黑体" w:eastAsia="黑体" w:hAnsi="黑体" w:hint="eastAsia"/>
          <w:szCs w:val="32"/>
        </w:rPr>
        <w:lastRenderedPageBreak/>
        <w:t>附件</w:t>
      </w:r>
      <w:r>
        <w:rPr>
          <w:rFonts w:ascii="黑体" w:eastAsia="黑体" w:hAnsi="黑体" w:hint="eastAsia"/>
          <w:szCs w:val="32"/>
        </w:rPr>
        <w:t>2</w:t>
      </w:r>
      <w:r w:rsidRPr="007D42F6">
        <w:rPr>
          <w:rFonts w:ascii="黑体" w:eastAsia="黑体" w:hAnsi="黑体" w:hint="eastAsia"/>
          <w:szCs w:val="32"/>
        </w:rPr>
        <w:t>：</w:t>
      </w:r>
    </w:p>
    <w:p w:rsidR="0063696B" w:rsidRPr="00BB59FD" w:rsidRDefault="0063696B" w:rsidP="0063696B">
      <w:pPr>
        <w:spacing w:line="700" w:lineRule="exact"/>
        <w:jc w:val="center"/>
        <w:rPr>
          <w:rFonts w:ascii="方正小标宋简体" w:eastAsia="方正小标宋简体"/>
          <w:sz w:val="44"/>
          <w:szCs w:val="44"/>
        </w:rPr>
      </w:pPr>
      <w:r w:rsidRPr="00BB59FD">
        <w:rPr>
          <w:rFonts w:ascii="方正小标宋简体" w:eastAsia="方正小标宋简体" w:hint="eastAsia"/>
          <w:sz w:val="44"/>
          <w:szCs w:val="44"/>
        </w:rPr>
        <w:t>常州市承接政府职能转移和购买服务</w:t>
      </w:r>
    </w:p>
    <w:p w:rsidR="0063696B" w:rsidRPr="00BB59FD" w:rsidRDefault="0063696B" w:rsidP="0063696B">
      <w:pPr>
        <w:spacing w:line="700" w:lineRule="exact"/>
        <w:jc w:val="center"/>
        <w:rPr>
          <w:rFonts w:ascii="方正小标宋简体" w:eastAsia="方正小标宋简体"/>
          <w:sz w:val="44"/>
          <w:szCs w:val="44"/>
        </w:rPr>
      </w:pPr>
      <w:r w:rsidRPr="00BB59FD">
        <w:rPr>
          <w:rFonts w:ascii="方正小标宋简体" w:eastAsia="方正小标宋简体" w:hint="eastAsia"/>
          <w:sz w:val="44"/>
          <w:szCs w:val="44"/>
        </w:rPr>
        <w:t>的社会组织资质认定办法</w:t>
      </w:r>
    </w:p>
    <w:p w:rsidR="0063696B" w:rsidRPr="002B20F1" w:rsidRDefault="0063696B" w:rsidP="0063696B"/>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第一条  政策依据。为贯彻落实《国务院办公厅关于政府向社会力量购买服务的指导意见》（国办发〔2013〕96号）、《省政府办公厅印发关于推进政府购买公共服务工作指导意见的通知》（苏政办发〔2013〕175号）和《市政府办公室关于政府向社会组织转移职能的实施意见》（常政办发〔2014〕141号）精神，进一步推进社会组织承接政府职能转移和购买服务项目，制定本办法。</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第二条  基本原则。社会组织承接政府职能转移和购买服务项目资质（以下简称“资质”）认定工作，坚持标准统一、分级认定、动态管理、客观公正的原则。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第三条  适用范围。本办法所称社会组织指由市、辖市（区）民政部门批准成立的社会团体、基金会和民办非企业单位。</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第四条  职责分工。市民政局负责制定资质认定办法和市属社会组织的资质认定工作，辖市（区）民政部门负责同级社会组织资质认定工作。</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第五条  基础条件。申请资质认定的社会组织应当具备以下条件：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（一）依照有关法律法规登记注册，具有独立承担民事</w:t>
      </w:r>
      <w:r w:rsidRPr="00BB59FD">
        <w:rPr>
          <w:rFonts w:ascii="仿宋_GB2312" w:hint="eastAsia"/>
          <w:szCs w:val="32"/>
        </w:rPr>
        <w:lastRenderedPageBreak/>
        <w:t>责任的能力；</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（二）具有健全的法人治理结构及完善的内部管理制度、信息公开制度和民主监督制度；</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（三）执行《民间非营利组织会计制度》，具有独立的财务管理、财务核算和资产管理制度，健全的内部审计制度，合法稳定的收入来源，依法缴纳税收；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（四）有符合要求的固定办公场所；</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（五）有提供公共服务必须的设备、专业技术人员和相关资质；</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（六）有1 名以上专职工作人员，依法签订劳动合同；</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（七）在承接政府职能转移和政府购买服务项目前两年年检合格；</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（八）参加社会组织等级评估且获得相应等级；</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（九）能满足政府购买服务主体提出的专业方面的合理资质要求；</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（十）其他。</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第六条  优先条件。符合本办法第五条规定，并有下列情形之一的社会组织，可优先承接政府职能转移和购买服务项目：</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（一）评估等级在3A级以上；</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（二）获得非营利组织免税资格；</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（三）获得公益性捐赠税前扣除资格；</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（四）有承接政府职能转移和购买服务项目经历且服务绩效得到认可；</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lastRenderedPageBreak/>
        <w:t>（五）影响力、公信力得到相关部门、会员单位、服务对象或其他组织的认可，获得相关荣誉。</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第七条  提交材料。符合本办法第五条所列申请条件的社会组织，应当向登记管理机关报送以下材料：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（一）填写《社会组织承接政府职能转移和购买服务项目资质申请表》（一式三份）；</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（二）有年检结论的法人登记证书和代码证书复印件；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（三）专职工作人员证明；</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（四）办公场所证明；</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（五）会计师事务所出具的上一年度财务审计报告；</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（六）评估等级证明文件；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（七）民政部门要求的其他材料。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第八条  选交材料。符合本办法第六条所列优先条件的社会组织，除第七条应当报送的材料外，可以向登记管理机关报送以下材料：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（一）获得公益性捐赠税前扣除资格的证明文件；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（二）获得非营利组织免税资格的证明文件；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（三）承接政府职能转移和购买服务经历的简要情况说明；</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（四）获得表彰奖励的证明文件；</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（五）其他材料。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第九条  认定程序。资质认定工作应当按照下列程序进行：</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（一）申请。每年11月1日至11月30日，社会组织</w:t>
      </w:r>
      <w:r w:rsidRPr="00BB59FD">
        <w:rPr>
          <w:rFonts w:ascii="仿宋_GB2312" w:hint="eastAsia"/>
          <w:szCs w:val="32"/>
        </w:rPr>
        <w:lastRenderedPageBreak/>
        <w:t>向登记管理机关提交申请材料。</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（二）审核、公示。每年12月20日前，登记管理机关审核申请材料，拟制本级具备资质的社会组织目录并在官方网站进行公示。</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（三）公告。每年12 月31日前，登记管理机关根据公示情况确认本级具备资质的社会组织目录，并在当地官方网站上予以公布。</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第十条  资质管理。登记管理机关原则上一年公布一次具备资质的社会组织目录。目录实行动态管理。</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（一）资质有效期限。资质认定有效期为5年，资质认定满5年后，社会组织需重新向登记管理机关提出申请。</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（二）取消资质情形。社会组织有下列情形之一的，登记管理机关将取消其资质：</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1、未参加年检或年度检查结论为“基本合格”、“不合格”的；</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2、在申请时提供虚假信息的；</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3、受到登记管理机关或政府有关部门行政处罚的。</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被取消资质的社会组织整改期为一年，整改期满后，方可重新申请。</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第十一条  资质应用。通过民政部门资质认定的社会组织，有资格承接全市范围内各级政府部门转移、委托、授权的职能和购买服务项目。</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各级政府及其部门原则上应当在民政部门公布的目录范围内，按照公开、公平、公正的原则，通过竞争择优的方式选择承接政府职能转移和购买服务项目的社会组织，具体</w:t>
      </w:r>
      <w:r w:rsidRPr="00BB59FD">
        <w:rPr>
          <w:rFonts w:ascii="仿宋_GB2312" w:hint="eastAsia"/>
          <w:szCs w:val="32"/>
        </w:rPr>
        <w:lastRenderedPageBreak/>
        <w:t>条件由政府及其部门会同本级财政部门根据职能转移或购买服务项目的性质和质量要求确定。</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第十二条  本办法由常州市民政局负责解释和修订。</w:t>
      </w:r>
    </w:p>
    <w:p w:rsidR="0063696B" w:rsidRPr="00BB59FD" w:rsidRDefault="0063696B" w:rsidP="0063696B">
      <w:pPr>
        <w:spacing w:line="570" w:lineRule="exact"/>
        <w:ind w:firstLineChars="200" w:firstLine="640"/>
        <w:rPr>
          <w:rFonts w:ascii="仿宋_GB2312"/>
          <w:szCs w:val="32"/>
        </w:rPr>
      </w:pPr>
      <w:r w:rsidRPr="00BB59FD">
        <w:rPr>
          <w:rFonts w:ascii="仿宋_GB2312" w:hint="eastAsia"/>
          <w:szCs w:val="32"/>
        </w:rPr>
        <w:t>第十三条  本办法自印发之日起施行。</w:t>
      </w:r>
    </w:p>
    <w:p w:rsidR="00B142CD" w:rsidRDefault="00B142CD"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p w:rsidR="0063696B" w:rsidRDefault="0063696B" w:rsidP="00247979">
      <w:pPr>
        <w:rPr>
          <w:rFonts w:ascii="仿宋" w:eastAsia="仿宋" w:hAnsi="仿宋"/>
        </w:rPr>
      </w:pPr>
    </w:p>
    <w:sectPr w:rsidR="0063696B" w:rsidSect="006F1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41" w:rsidRDefault="004E5D41" w:rsidP="00F06EF2">
      <w:r>
        <w:separator/>
      </w:r>
    </w:p>
  </w:endnote>
  <w:endnote w:type="continuationSeparator" w:id="1">
    <w:p w:rsidR="004E5D41" w:rsidRDefault="004E5D41" w:rsidP="00F06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41" w:rsidRDefault="004E5D41" w:rsidP="00F06EF2">
      <w:r>
        <w:separator/>
      </w:r>
    </w:p>
  </w:footnote>
  <w:footnote w:type="continuationSeparator" w:id="1">
    <w:p w:rsidR="004E5D41" w:rsidRDefault="004E5D41" w:rsidP="00F06E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EF2"/>
    <w:rsid w:val="00007720"/>
    <w:rsid w:val="00016547"/>
    <w:rsid w:val="00054A98"/>
    <w:rsid w:val="000604BE"/>
    <w:rsid w:val="000633F3"/>
    <w:rsid w:val="000D3298"/>
    <w:rsid w:val="001D20DE"/>
    <w:rsid w:val="001E32C2"/>
    <w:rsid w:val="001F6478"/>
    <w:rsid w:val="00202B10"/>
    <w:rsid w:val="00217EF5"/>
    <w:rsid w:val="00247979"/>
    <w:rsid w:val="00256FBD"/>
    <w:rsid w:val="002663CB"/>
    <w:rsid w:val="002911AA"/>
    <w:rsid w:val="0030334A"/>
    <w:rsid w:val="00346AC0"/>
    <w:rsid w:val="00385291"/>
    <w:rsid w:val="003A3323"/>
    <w:rsid w:val="003A5EE1"/>
    <w:rsid w:val="003F0B31"/>
    <w:rsid w:val="0041758B"/>
    <w:rsid w:val="00461DC8"/>
    <w:rsid w:val="00467823"/>
    <w:rsid w:val="00493DE6"/>
    <w:rsid w:val="004971E3"/>
    <w:rsid w:val="004A113D"/>
    <w:rsid w:val="004E1DF0"/>
    <w:rsid w:val="004E5D41"/>
    <w:rsid w:val="00560B1E"/>
    <w:rsid w:val="005A437C"/>
    <w:rsid w:val="005B5412"/>
    <w:rsid w:val="005F1346"/>
    <w:rsid w:val="0061716D"/>
    <w:rsid w:val="0063696B"/>
    <w:rsid w:val="00653200"/>
    <w:rsid w:val="006553B6"/>
    <w:rsid w:val="006B4006"/>
    <w:rsid w:val="006F0D6F"/>
    <w:rsid w:val="006F1D13"/>
    <w:rsid w:val="006F7565"/>
    <w:rsid w:val="00712050"/>
    <w:rsid w:val="007301AE"/>
    <w:rsid w:val="007847F4"/>
    <w:rsid w:val="00796C28"/>
    <w:rsid w:val="007A5D3A"/>
    <w:rsid w:val="007D61C8"/>
    <w:rsid w:val="0081402B"/>
    <w:rsid w:val="0082118F"/>
    <w:rsid w:val="008241B1"/>
    <w:rsid w:val="00827000"/>
    <w:rsid w:val="008657B5"/>
    <w:rsid w:val="008D1C06"/>
    <w:rsid w:val="00966504"/>
    <w:rsid w:val="009B06F4"/>
    <w:rsid w:val="00A51586"/>
    <w:rsid w:val="00A94740"/>
    <w:rsid w:val="00B142CD"/>
    <w:rsid w:val="00B920B2"/>
    <w:rsid w:val="00BC6274"/>
    <w:rsid w:val="00BE2FF4"/>
    <w:rsid w:val="00C42799"/>
    <w:rsid w:val="00C66B11"/>
    <w:rsid w:val="00CA47AA"/>
    <w:rsid w:val="00CC0816"/>
    <w:rsid w:val="00CE1722"/>
    <w:rsid w:val="00D130F9"/>
    <w:rsid w:val="00D35EA6"/>
    <w:rsid w:val="00DD47B9"/>
    <w:rsid w:val="00DD5BB8"/>
    <w:rsid w:val="00E07CAD"/>
    <w:rsid w:val="00E1040F"/>
    <w:rsid w:val="00E54B24"/>
    <w:rsid w:val="00E624A5"/>
    <w:rsid w:val="00E858B9"/>
    <w:rsid w:val="00EB00FE"/>
    <w:rsid w:val="00EC7D84"/>
    <w:rsid w:val="00EE0A03"/>
    <w:rsid w:val="00F06EF2"/>
    <w:rsid w:val="00F23ED7"/>
    <w:rsid w:val="00F65C49"/>
    <w:rsid w:val="00F9010E"/>
    <w:rsid w:val="00FB4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F2"/>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99"/>
    <w:qFormat/>
    <w:rsid w:val="000165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E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6EF2"/>
    <w:rPr>
      <w:sz w:val="18"/>
      <w:szCs w:val="18"/>
    </w:rPr>
  </w:style>
  <w:style w:type="paragraph" w:styleId="a4">
    <w:name w:val="footer"/>
    <w:basedOn w:val="a"/>
    <w:link w:val="Char0"/>
    <w:uiPriority w:val="99"/>
    <w:semiHidden/>
    <w:unhideWhenUsed/>
    <w:rsid w:val="00F06E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6EF2"/>
    <w:rPr>
      <w:sz w:val="18"/>
      <w:szCs w:val="18"/>
    </w:rPr>
  </w:style>
  <w:style w:type="paragraph" w:styleId="a5">
    <w:name w:val="Balloon Text"/>
    <w:basedOn w:val="a"/>
    <w:link w:val="Char1"/>
    <w:uiPriority w:val="99"/>
    <w:semiHidden/>
    <w:unhideWhenUsed/>
    <w:rsid w:val="007D61C8"/>
    <w:rPr>
      <w:sz w:val="18"/>
      <w:szCs w:val="18"/>
    </w:rPr>
  </w:style>
  <w:style w:type="character" w:customStyle="1" w:styleId="Char1">
    <w:name w:val="批注框文本 Char"/>
    <w:basedOn w:val="a0"/>
    <w:link w:val="a5"/>
    <w:uiPriority w:val="99"/>
    <w:semiHidden/>
    <w:rsid w:val="007D61C8"/>
    <w:rPr>
      <w:rFonts w:ascii="Times New Roman" w:eastAsia="仿宋_GB2312" w:hAnsi="Times New Roman" w:cs="Times New Roman"/>
      <w:sz w:val="18"/>
      <w:szCs w:val="18"/>
    </w:rPr>
  </w:style>
  <w:style w:type="character" w:customStyle="1" w:styleId="2Char">
    <w:name w:val="标题 2 Char"/>
    <w:basedOn w:val="a0"/>
    <w:link w:val="2"/>
    <w:uiPriority w:val="99"/>
    <w:rsid w:val="00016547"/>
    <w:rPr>
      <w:rFonts w:ascii="宋体" w:eastAsia="宋体" w:hAnsi="宋体" w:cs="宋体"/>
      <w:b/>
      <w:bCs/>
      <w:kern w:val="0"/>
      <w:sz w:val="36"/>
      <w:szCs w:val="36"/>
    </w:rPr>
  </w:style>
  <w:style w:type="character" w:customStyle="1" w:styleId="ca-71">
    <w:name w:val="ca-71"/>
    <w:basedOn w:val="a0"/>
    <w:uiPriority w:val="99"/>
    <w:rsid w:val="00016547"/>
    <w:rPr>
      <w:rFonts w:ascii="仿宋_GB2312" w:eastAsia="仿宋_GB2312" w:cs="仿宋_GB2312"/>
      <w:sz w:val="24"/>
      <w:szCs w:val="24"/>
    </w:rPr>
  </w:style>
  <w:style w:type="character" w:customStyle="1" w:styleId="ca-91">
    <w:name w:val="ca-91"/>
    <w:basedOn w:val="a0"/>
    <w:uiPriority w:val="99"/>
    <w:qFormat/>
    <w:rsid w:val="00016547"/>
    <w:rPr>
      <w:rFonts w:ascii="仿宋_GB2312" w:eastAsia="仿宋_GB2312" w:cs="仿宋_GB2312"/>
      <w:sz w:val="21"/>
      <w:szCs w:val="21"/>
    </w:rPr>
  </w:style>
  <w:style w:type="paragraph" w:customStyle="1" w:styleId="pa-9">
    <w:name w:val="pa-9"/>
    <w:basedOn w:val="a"/>
    <w:uiPriority w:val="99"/>
    <w:rsid w:val="00016547"/>
    <w:pPr>
      <w:widowControl/>
      <w:spacing w:line="360" w:lineRule="atLeast"/>
    </w:pPr>
    <w:rPr>
      <w:rFonts w:ascii="宋体" w:eastAsia="宋体" w:hAnsi="宋体" w:cs="宋体"/>
      <w:kern w:val="0"/>
      <w:sz w:val="24"/>
    </w:rPr>
  </w:style>
  <w:style w:type="character" w:styleId="a6">
    <w:name w:val="Hyperlink"/>
    <w:basedOn w:val="a0"/>
    <w:rsid w:val="0063696B"/>
    <w:rPr>
      <w:color w:val="0000FF"/>
      <w:u w:val="single"/>
    </w:rPr>
  </w:style>
  <w:style w:type="character" w:styleId="a7">
    <w:name w:val="FollowedHyperlink"/>
    <w:basedOn w:val="a0"/>
    <w:uiPriority w:val="99"/>
    <w:semiHidden/>
    <w:unhideWhenUsed/>
    <w:rsid w:val="006369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373</Words>
  <Characters>2131</Characters>
  <Application>Microsoft Office Word</Application>
  <DocSecurity>0</DocSecurity>
  <Lines>17</Lines>
  <Paragraphs>4</Paragraphs>
  <ScaleCrop>false</ScaleCrop>
  <Company>Microsoft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3</cp:revision>
  <cp:lastPrinted>2017-11-13T05:41:00Z</cp:lastPrinted>
  <dcterms:created xsi:type="dcterms:W3CDTF">2017-11-20T15:45:00Z</dcterms:created>
  <dcterms:modified xsi:type="dcterms:W3CDTF">2017-11-20T15:45:00Z</dcterms:modified>
</cp:coreProperties>
</file>